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90" w:lineRule="exact"/>
        <w:ind w:firstLine="281" w:firstLineChars="100"/>
        <w:jc w:val="center"/>
        <w:rPr>
          <w:rFonts w:ascii="宋体" w:hAnsi="宋体"/>
          <w:b/>
          <w:spacing w:val="-10"/>
          <w:sz w:val="30"/>
        </w:rPr>
      </w:pPr>
      <w:r>
        <w:rPr>
          <w:rFonts w:hint="eastAsia" w:ascii="宋体" w:hAnsi="宋体"/>
          <w:b/>
          <w:spacing w:val="-10"/>
          <w:sz w:val="30"/>
        </w:rPr>
        <w:t>2020年第三次福建省新型冠状病毒核酸检测室间质量评价活动安排</w:t>
      </w:r>
    </w:p>
    <w:p>
      <w:pPr>
        <w:spacing w:line="300" w:lineRule="auto"/>
        <w:ind w:firstLine="480" w:firstLineChars="200"/>
        <w:rPr>
          <w:rFonts w:hint="eastAsia" w:asciiTheme="minorEastAsia" w:hAnsiTheme="minorEastAsia" w:eastAsiaTheme="minorEastAsia" w:cstheme="minorEastAsia"/>
          <w:sz w:val="24"/>
          <w:szCs w:val="24"/>
        </w:rPr>
      </w:pPr>
    </w:p>
    <w:p>
      <w:pPr>
        <w:spacing w:line="30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2020年度第三次新型冠状病毒核酸检测室间质量评价活动安排如下：</w:t>
      </w:r>
    </w:p>
    <w:p>
      <w:pPr>
        <w:spacing w:line="30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一、测定项目：新型冠状病毒核酸检测。</w:t>
      </w:r>
    </w:p>
    <w:p>
      <w:pPr>
        <w:spacing w:line="30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二、样本批号：202031、202032、202033、202034、202035。</w:t>
      </w:r>
    </w:p>
    <w:p>
      <w:pPr>
        <w:spacing w:line="30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三、测定时间：各参评实验室收到样本的当日或次日。</w:t>
      </w:r>
    </w:p>
    <w:p>
      <w:pPr>
        <w:spacing w:line="30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t>四、回报截止时间：</w:t>
      </w:r>
      <w:r>
        <w:rPr>
          <w:rFonts w:hint="eastAsia" w:asciiTheme="minorEastAsia" w:hAnsiTheme="minorEastAsia" w:eastAsiaTheme="minorEastAsia" w:cstheme="minorEastAsia"/>
          <w:b/>
          <w:bCs/>
          <w:color w:val="FF0000"/>
          <w:sz w:val="24"/>
          <w:szCs w:val="24"/>
        </w:rPr>
        <w:t>2020年12月18日</w:t>
      </w:r>
      <w:bookmarkStart w:id="1" w:name="_GoBack"/>
      <w:bookmarkEnd w:id="1"/>
    </w:p>
    <w:p>
      <w:pPr>
        <w:spacing w:line="30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000000"/>
          <w:sz w:val="24"/>
          <w:szCs w:val="24"/>
        </w:rPr>
        <w:t>五、成绩回传时间</w:t>
      </w:r>
      <w:r>
        <w:rPr>
          <w:rFonts w:hint="eastAsia" w:asciiTheme="minorEastAsia" w:hAnsiTheme="minorEastAsia" w:eastAsiaTheme="minorEastAsia" w:cstheme="minorEastAsia"/>
          <w:color w:val="auto"/>
          <w:sz w:val="24"/>
          <w:szCs w:val="24"/>
        </w:rPr>
        <w:t>：2020年12月31日</w:t>
      </w:r>
    </w:p>
    <w:p>
      <w:pPr>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六、注意事项：</w:t>
      </w:r>
    </w:p>
    <w:p>
      <w:pPr>
        <w:spacing w:line="400" w:lineRule="exact"/>
        <w:ind w:left="359" w:leftChars="171"/>
        <w:jc w:val="left"/>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color w:val="000000"/>
          <w:kern w:val="0"/>
          <w:sz w:val="24"/>
          <w:szCs w:val="24"/>
        </w:rPr>
        <w:t>本样品用于新型冠状病毒核酸检测的室间质量评价活动，样</w:t>
      </w:r>
      <w:r>
        <w:rPr>
          <w:rFonts w:hint="eastAsia" w:asciiTheme="minorEastAsia" w:hAnsiTheme="minorEastAsia" w:eastAsiaTheme="minorEastAsia" w:cstheme="minorEastAsia"/>
          <w:color w:val="000000" w:themeColor="text1"/>
          <w:kern w:val="0"/>
          <w:sz w:val="24"/>
          <w:szCs w:val="24"/>
        </w:rPr>
        <w:t>品量 600ul/支。</w:t>
      </w:r>
    </w:p>
    <w:p>
      <w:pPr>
        <w:spacing w:line="360" w:lineRule="exact"/>
        <w:ind w:left="359" w:leftChars="171"/>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sz w:val="24"/>
          <w:szCs w:val="24"/>
        </w:rPr>
        <w:t>2.本样品为RNA合成全片段</w:t>
      </w:r>
      <w:r>
        <w:rPr>
          <w:rFonts w:hint="eastAsia" w:asciiTheme="minorEastAsia" w:hAnsiTheme="minorEastAsia" w:eastAsiaTheme="minorEastAsia" w:cstheme="minorEastAsia"/>
          <w:color w:val="000000"/>
          <w:kern w:val="0"/>
          <w:sz w:val="24"/>
          <w:szCs w:val="24"/>
        </w:rPr>
        <w:t>。</w:t>
      </w:r>
    </w:p>
    <w:p>
      <w:pPr>
        <w:spacing w:line="400" w:lineRule="exact"/>
        <w:ind w:left="359" w:leftChars="171"/>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kern w:val="0"/>
          <w:sz w:val="24"/>
          <w:szCs w:val="24"/>
        </w:rPr>
        <w:t>收到质控品后请认真检查核对，如有破损、缺失或编号错误，请尽快与我们联系。</w:t>
      </w:r>
    </w:p>
    <w:p>
      <w:pPr>
        <w:spacing w:line="360" w:lineRule="auto"/>
        <w:ind w:left="423" w:leftChars="171" w:hanging="64" w:hangingChars="2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4.收到质控品后，请立即检测或保存在-20℃以下，不可反复冻融</w:t>
      </w:r>
      <w:bookmarkStart w:id="0" w:name="OLE_LINK3"/>
      <w:r>
        <w:rPr>
          <w:rFonts w:hint="eastAsia" w:asciiTheme="minorEastAsia" w:hAnsiTheme="minorEastAsia" w:eastAsiaTheme="minorEastAsia" w:cstheme="minorEastAsia"/>
          <w:sz w:val="24"/>
          <w:szCs w:val="24"/>
        </w:rPr>
        <w:t>。</w:t>
      </w:r>
      <w:bookmarkEnd w:id="0"/>
    </w:p>
    <w:p>
      <w:pPr>
        <w:spacing w:line="400" w:lineRule="exact"/>
        <w:ind w:left="36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5.</w:t>
      </w:r>
      <w:r>
        <w:rPr>
          <w:rFonts w:hint="eastAsia" w:asciiTheme="minorEastAsia" w:hAnsiTheme="minorEastAsia" w:eastAsiaTheme="minorEastAsia" w:cstheme="minorEastAsia"/>
          <w:sz w:val="24"/>
          <w:szCs w:val="24"/>
        </w:rPr>
        <w:t xml:space="preserve"> 检测前室温复融，每份样品震荡混匀、短暂离心后，样品按照日常病人样品处理方式处理</w:t>
      </w:r>
      <w:r>
        <w:rPr>
          <w:rFonts w:hint="eastAsia" w:asciiTheme="minorEastAsia" w:hAnsiTheme="minorEastAsia" w:eastAsiaTheme="minorEastAsia" w:cstheme="minorEastAsia"/>
          <w:color w:val="000000"/>
          <w:kern w:val="0"/>
          <w:sz w:val="24"/>
          <w:szCs w:val="24"/>
        </w:rPr>
        <w:t>。</w:t>
      </w:r>
    </w:p>
    <w:p>
      <w:pPr>
        <w:spacing w:line="400" w:lineRule="exact"/>
        <w:ind w:left="36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6.测定结果使用北京科临易检公司的室间质评统计系统,从福建省临床检验中心网站回报，网址fjccl.clinet.cn，上报后请到已上报数据确认。</w:t>
      </w:r>
    </w:p>
    <w:p>
      <w:pPr>
        <w:spacing w:line="400" w:lineRule="exact"/>
        <w:ind w:left="36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7.填报说明：</w:t>
      </w:r>
    </w:p>
    <w:p>
      <w:pPr>
        <w:spacing w:line="400" w:lineRule="exact"/>
        <w:ind w:left="359" w:leftChars="171"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[1]定性结果：可选“检出”、“未检出”。</w:t>
      </w:r>
    </w:p>
    <w:p>
      <w:pPr>
        <w:spacing w:line="400" w:lineRule="exact"/>
        <w:ind w:left="359" w:leftChars="171"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[2]Ct值：保留两位小数。阴性样本，如无扩增曲线，则填写0。</w:t>
      </w:r>
    </w:p>
    <w:p>
      <w:pPr>
        <w:spacing w:line="400" w:lineRule="exact"/>
        <w:ind w:left="359" w:leftChars="171" w:firstLine="240" w:firstLineChars="1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[3]实验室根据实际检测区域填写，如实验室只检测ORF1ab，则只需填写ORF1ab列。</w:t>
      </w:r>
    </w:p>
    <w:p>
      <w:pPr>
        <w:spacing w:line="400" w:lineRule="exact"/>
        <w:ind w:left="359" w:leftChars="171"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[4]</w:t>
      </w:r>
      <w:r>
        <w:rPr>
          <w:rFonts w:hint="eastAsia" w:asciiTheme="minorEastAsia" w:hAnsiTheme="minorEastAsia" w:eastAsiaTheme="minorEastAsia" w:cstheme="minorEastAsia"/>
          <w:sz w:val="24"/>
          <w:szCs w:val="24"/>
        </w:rPr>
        <w:t>测定方法、仪器、试剂</w:t>
      </w:r>
      <w:r>
        <w:rPr>
          <w:rFonts w:hint="eastAsia" w:asciiTheme="minorEastAsia" w:hAnsiTheme="minorEastAsia" w:eastAsiaTheme="minorEastAsia" w:cstheme="minorEastAsia"/>
          <w:color w:val="000000"/>
          <w:kern w:val="0"/>
          <w:sz w:val="24"/>
          <w:szCs w:val="24"/>
        </w:rPr>
        <w:t>名称分别按编码表提供的编码填写。其中试剂分为</w:t>
      </w:r>
      <w:r>
        <w:rPr>
          <w:rFonts w:hint="eastAsia" w:asciiTheme="minorEastAsia" w:hAnsiTheme="minorEastAsia" w:eastAsiaTheme="minorEastAsia" w:cstheme="minorEastAsia"/>
          <w:b/>
          <w:i/>
          <w:color w:val="FF0000"/>
          <w:kern w:val="0"/>
          <w:sz w:val="24"/>
          <w:szCs w:val="24"/>
        </w:rPr>
        <w:t>扩增试剂（编码KZ开头）填在试剂列，提取试剂（编码TQ开头）填在校准物列</w:t>
      </w:r>
      <w:r>
        <w:rPr>
          <w:rFonts w:hint="eastAsia" w:asciiTheme="minorEastAsia" w:hAnsiTheme="minorEastAsia" w:eastAsiaTheme="minorEastAsia" w:cstheme="minorEastAsia"/>
          <w:color w:val="000000"/>
          <w:kern w:val="0"/>
          <w:sz w:val="24"/>
          <w:szCs w:val="24"/>
        </w:rPr>
        <w:t>。</w:t>
      </w:r>
    </w:p>
    <w:p>
      <w:pPr>
        <w:spacing w:line="400" w:lineRule="exact"/>
        <w:ind w:left="3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8. </w:t>
      </w:r>
      <w:r>
        <w:rPr>
          <w:rFonts w:hint="eastAsia" w:asciiTheme="minorEastAsia" w:hAnsiTheme="minorEastAsia" w:eastAsiaTheme="minorEastAsia" w:cstheme="minorEastAsia"/>
          <w:sz w:val="24"/>
          <w:szCs w:val="24"/>
        </w:rPr>
        <w:t>参加室间质评单位遇到与质评有关的问题可直接与临床检验中心联系。</w:t>
      </w:r>
    </w:p>
    <w:p>
      <w:pPr>
        <w:spacing w:line="400" w:lineRule="exact"/>
        <w:ind w:firstLine="840" w:firstLineChars="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联系电话：（0591）</w:t>
      </w:r>
      <w:r>
        <w:rPr>
          <w:rFonts w:hint="eastAsia" w:asciiTheme="minorEastAsia" w:hAnsiTheme="minorEastAsia" w:eastAsiaTheme="minorEastAsia" w:cstheme="minorEastAsia"/>
          <w:color w:val="000000"/>
          <w:sz w:val="24"/>
          <w:szCs w:val="24"/>
        </w:rPr>
        <w:t xml:space="preserve">88216081  </w:t>
      </w:r>
      <w:r>
        <w:rPr>
          <w:rFonts w:hint="eastAsia" w:asciiTheme="minorEastAsia" w:hAnsiTheme="minorEastAsia" w:eastAsiaTheme="minorEastAsia" w:cstheme="minorEastAsia"/>
          <w:sz w:val="24"/>
          <w:szCs w:val="24"/>
        </w:rPr>
        <w:t xml:space="preserve"> </w:t>
      </w:r>
    </w:p>
    <w:p>
      <w:pPr>
        <w:spacing w:line="400" w:lineRule="exact"/>
        <w:ind w:firstLine="840" w:firstLineChars="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 曾艳芬</w:t>
      </w:r>
    </w:p>
    <w:p>
      <w:pPr>
        <w:spacing w:line="400" w:lineRule="exact"/>
        <w:ind w:firstLine="840" w:firstLineChars="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地址：福州市五四路七号省医学科学研究院5楼福建省临床检验中心    </w:t>
      </w:r>
    </w:p>
    <w:p>
      <w:pPr>
        <w:spacing w:line="400" w:lineRule="exact"/>
        <w:ind w:firstLine="840" w:firstLineChars="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邮编：350001</w:t>
      </w:r>
    </w:p>
    <w:p>
      <w:pPr>
        <w:spacing w:line="400" w:lineRule="exact"/>
        <w:ind w:firstLine="360" w:firstLineChars="150"/>
        <w:rPr>
          <w:rFonts w:ascii="宋体" w:hAnsi="宋体"/>
          <w:sz w:val="24"/>
        </w:rPr>
      </w:pPr>
      <w:r>
        <w:rPr>
          <w:rFonts w:hint="eastAsia" w:asciiTheme="minorEastAsia" w:hAnsiTheme="minorEastAsia" w:eastAsiaTheme="minorEastAsia" w:cstheme="minorEastAsia"/>
          <w:sz w:val="24"/>
          <w:szCs w:val="24"/>
        </w:rPr>
        <w:t>与室间质评网络填报系统有关问题可与北京科临易检信息技术有限公司联系。</w:t>
      </w:r>
      <w:r>
        <w:rPr>
          <w:rFonts w:hint="eastAsia" w:ascii="宋体" w:hAnsi="宋体"/>
          <w:sz w:val="24"/>
        </w:rPr>
        <w:t>联系电话：（010）84533392/84533393</w:t>
      </w:r>
    </w:p>
    <w:sectPr>
      <w:pgSz w:w="10886" w:h="15196"/>
      <w:pgMar w:top="1134" w:right="1077" w:bottom="851" w:left="1077" w:header="851" w:footer="992" w:gutter="0"/>
      <w:paperSrc w:first="1" w:other="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F4600"/>
    <w:multiLevelType w:val="multilevel"/>
    <w:tmpl w:val="282F4600"/>
    <w:lvl w:ilvl="0" w:tentative="0">
      <w:start w:val="1"/>
      <w:numFmt w:val="decimal"/>
      <w:pStyle w:val="2"/>
      <w:lvlText w:val="%1"/>
      <w:lvlJc w:val="left"/>
      <w:pPr>
        <w:tabs>
          <w:tab w:val="left" w:pos="360"/>
        </w:tabs>
        <w:ind w:left="0" w:firstLine="0"/>
      </w:pPr>
      <w:rPr>
        <w:rFonts w:hint="default" w:ascii="Times New Roman" w:hAnsi="Times New Roman" w:eastAsia="宋体"/>
        <w:b w:val="0"/>
        <w:i w:val="0"/>
        <w:sz w:val="24"/>
      </w:rPr>
    </w:lvl>
    <w:lvl w:ilvl="1" w:tentative="0">
      <w:start w:val="1"/>
      <w:numFmt w:val="decimal"/>
      <w:pStyle w:val="3"/>
      <w:lvlText w:val="%1.%2"/>
      <w:lvlJc w:val="left"/>
      <w:pPr>
        <w:tabs>
          <w:tab w:val="left" w:pos="360"/>
        </w:tabs>
        <w:ind w:left="0" w:firstLine="0"/>
      </w:pPr>
      <w:rPr>
        <w:rFonts w:hint="default" w:ascii="Times New Roman" w:hAnsi="Times New Roman" w:eastAsia="宋体"/>
        <w:b w:val="0"/>
        <w:i w:val="0"/>
        <w:sz w:val="24"/>
      </w:rPr>
    </w:lvl>
    <w:lvl w:ilvl="2" w:tentative="0">
      <w:start w:val="1"/>
      <w:numFmt w:val="decimal"/>
      <w:pStyle w:val="6"/>
      <w:lvlText w:val="%1.%2.%3"/>
      <w:lvlJc w:val="left"/>
      <w:pPr>
        <w:tabs>
          <w:tab w:val="left" w:pos="720"/>
        </w:tabs>
        <w:ind w:left="0" w:firstLine="0"/>
      </w:pPr>
      <w:rPr>
        <w:rFonts w:hint="default" w:ascii="Times New Roman" w:hAnsi="Times New Roman" w:eastAsia="宋体"/>
        <w:b w:val="0"/>
        <w:i w:val="0"/>
        <w:sz w:val="24"/>
      </w:rPr>
    </w:lvl>
    <w:lvl w:ilvl="3" w:tentative="0">
      <w:start w:val="1"/>
      <w:numFmt w:val="decimal"/>
      <w:pStyle w:val="7"/>
      <w:lvlText w:val="%1.%2.%3.%4"/>
      <w:lvlJc w:val="left"/>
      <w:pPr>
        <w:tabs>
          <w:tab w:val="left" w:pos="720"/>
        </w:tabs>
        <w:ind w:left="0" w:firstLine="0"/>
      </w:pPr>
      <w:rPr>
        <w:rFonts w:hint="default" w:ascii="Times New Roman" w:hAnsi="Times New Roman" w:eastAsia="宋体"/>
        <w:b w:val="0"/>
        <w:i w:val="0"/>
        <w:sz w:val="24"/>
      </w:rPr>
    </w:lvl>
    <w:lvl w:ilvl="4" w:tentative="0">
      <w:start w:val="1"/>
      <w:numFmt w:val="decimal"/>
      <w:pStyle w:val="8"/>
      <w:lvlText w:val="%1.%2.%3.%4.%5"/>
      <w:lvlJc w:val="left"/>
      <w:pPr>
        <w:tabs>
          <w:tab w:val="left" w:pos="1080"/>
        </w:tabs>
        <w:ind w:left="0" w:firstLine="0"/>
      </w:pPr>
      <w:rPr>
        <w:rFonts w:hint="eastAsia"/>
      </w:rPr>
    </w:lvl>
    <w:lvl w:ilvl="5" w:tentative="0">
      <w:start w:val="1"/>
      <w:numFmt w:val="decimal"/>
      <w:pStyle w:val="9"/>
      <w:lvlText w:val="%1.%2.%3.%4.%5.%6"/>
      <w:lvlJc w:val="left"/>
      <w:pPr>
        <w:tabs>
          <w:tab w:val="left" w:pos="1152"/>
        </w:tabs>
        <w:ind w:left="1152" w:hanging="1152"/>
      </w:pPr>
      <w:rPr>
        <w:rFonts w:hint="eastAsia"/>
      </w:rPr>
    </w:lvl>
    <w:lvl w:ilvl="6" w:tentative="0">
      <w:start w:val="1"/>
      <w:numFmt w:val="decimal"/>
      <w:pStyle w:val="10"/>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0AD5"/>
    <w:rsid w:val="0001567C"/>
    <w:rsid w:val="00027536"/>
    <w:rsid w:val="00035702"/>
    <w:rsid w:val="00052903"/>
    <w:rsid w:val="000663A6"/>
    <w:rsid w:val="00081A35"/>
    <w:rsid w:val="000B6220"/>
    <w:rsid w:val="00120BD4"/>
    <w:rsid w:val="00125A18"/>
    <w:rsid w:val="001266FF"/>
    <w:rsid w:val="00132282"/>
    <w:rsid w:val="001366E9"/>
    <w:rsid w:val="00144077"/>
    <w:rsid w:val="00191B51"/>
    <w:rsid w:val="001C34E6"/>
    <w:rsid w:val="001D72EA"/>
    <w:rsid w:val="001F44F4"/>
    <w:rsid w:val="001F631F"/>
    <w:rsid w:val="00214B23"/>
    <w:rsid w:val="00215879"/>
    <w:rsid w:val="00240D41"/>
    <w:rsid w:val="00295836"/>
    <w:rsid w:val="00297242"/>
    <w:rsid w:val="002A33C2"/>
    <w:rsid w:val="002E645B"/>
    <w:rsid w:val="002E6535"/>
    <w:rsid w:val="003531BB"/>
    <w:rsid w:val="00393A16"/>
    <w:rsid w:val="003D4B89"/>
    <w:rsid w:val="0044343A"/>
    <w:rsid w:val="00457997"/>
    <w:rsid w:val="00460AD5"/>
    <w:rsid w:val="004713B9"/>
    <w:rsid w:val="0048288A"/>
    <w:rsid w:val="004C6565"/>
    <w:rsid w:val="004C6D1C"/>
    <w:rsid w:val="004D01A4"/>
    <w:rsid w:val="004F3A96"/>
    <w:rsid w:val="00500065"/>
    <w:rsid w:val="00531EBB"/>
    <w:rsid w:val="00542AEA"/>
    <w:rsid w:val="00576341"/>
    <w:rsid w:val="006041E4"/>
    <w:rsid w:val="00620945"/>
    <w:rsid w:val="00632243"/>
    <w:rsid w:val="006361F6"/>
    <w:rsid w:val="00637D24"/>
    <w:rsid w:val="00657231"/>
    <w:rsid w:val="00663FC7"/>
    <w:rsid w:val="006708F8"/>
    <w:rsid w:val="006B30B0"/>
    <w:rsid w:val="006B4F16"/>
    <w:rsid w:val="006E7768"/>
    <w:rsid w:val="006F1D92"/>
    <w:rsid w:val="006F3F8D"/>
    <w:rsid w:val="0070295B"/>
    <w:rsid w:val="00731D6D"/>
    <w:rsid w:val="00733197"/>
    <w:rsid w:val="0077548B"/>
    <w:rsid w:val="00785C5A"/>
    <w:rsid w:val="00795A8B"/>
    <w:rsid w:val="0080777A"/>
    <w:rsid w:val="0085068F"/>
    <w:rsid w:val="00911D85"/>
    <w:rsid w:val="009819C0"/>
    <w:rsid w:val="009909A1"/>
    <w:rsid w:val="009B6585"/>
    <w:rsid w:val="00A23DF3"/>
    <w:rsid w:val="00A70F77"/>
    <w:rsid w:val="00A72D20"/>
    <w:rsid w:val="00AF4624"/>
    <w:rsid w:val="00B05E4E"/>
    <w:rsid w:val="00B13797"/>
    <w:rsid w:val="00B23649"/>
    <w:rsid w:val="00B61D6B"/>
    <w:rsid w:val="00B93F51"/>
    <w:rsid w:val="00BE6ED3"/>
    <w:rsid w:val="00C62AEC"/>
    <w:rsid w:val="00C83F41"/>
    <w:rsid w:val="00CA2D2A"/>
    <w:rsid w:val="00CC34F2"/>
    <w:rsid w:val="00CD36A9"/>
    <w:rsid w:val="00D2379F"/>
    <w:rsid w:val="00D34A4A"/>
    <w:rsid w:val="00D42496"/>
    <w:rsid w:val="00D5268D"/>
    <w:rsid w:val="00DA5B86"/>
    <w:rsid w:val="00DB37E8"/>
    <w:rsid w:val="00DC5969"/>
    <w:rsid w:val="00DF0E2B"/>
    <w:rsid w:val="00DF1332"/>
    <w:rsid w:val="00E12E77"/>
    <w:rsid w:val="00E21D11"/>
    <w:rsid w:val="00E22522"/>
    <w:rsid w:val="00E77B90"/>
    <w:rsid w:val="00EF44EF"/>
    <w:rsid w:val="00EF6132"/>
    <w:rsid w:val="00F0660C"/>
    <w:rsid w:val="00F5397E"/>
    <w:rsid w:val="00F61F0A"/>
    <w:rsid w:val="00F65DE4"/>
    <w:rsid w:val="00F85B5A"/>
    <w:rsid w:val="00FB09F1"/>
    <w:rsid w:val="00FB5FE9"/>
    <w:rsid w:val="00FD6CD4"/>
    <w:rsid w:val="00FF0BC2"/>
    <w:rsid w:val="1A271AC7"/>
    <w:rsid w:val="63D37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numPr>
        <w:ilvl w:val="0"/>
        <w:numId w:val="1"/>
      </w:numPr>
      <w:spacing w:line="320" w:lineRule="exact"/>
      <w:jc w:val="left"/>
      <w:outlineLvl w:val="0"/>
    </w:pPr>
    <w:rPr>
      <w:rFonts w:ascii="楷体_GB2312" w:hAnsi="宋体" w:eastAsia="楷体_GB2312"/>
      <w:bCs/>
      <w:kern w:val="44"/>
      <w:sz w:val="24"/>
      <w:szCs w:val="44"/>
    </w:rPr>
  </w:style>
  <w:style w:type="paragraph" w:styleId="3">
    <w:name w:val="heading 2"/>
    <w:basedOn w:val="4"/>
    <w:next w:val="5"/>
    <w:qFormat/>
    <w:uiPriority w:val="0"/>
    <w:pPr>
      <w:numPr>
        <w:ilvl w:val="1"/>
        <w:numId w:val="1"/>
      </w:numPr>
      <w:spacing w:after="0" w:line="240" w:lineRule="auto"/>
      <w:ind w:leftChars="0"/>
      <w:outlineLvl w:val="1"/>
    </w:pPr>
    <w:rPr>
      <w:rFonts w:ascii="楷体_GB2312" w:hAnsi="Arial" w:eastAsia="楷体_GB2312"/>
      <w:sz w:val="24"/>
      <w:szCs w:val="32"/>
    </w:rPr>
  </w:style>
  <w:style w:type="paragraph" w:styleId="6">
    <w:name w:val="heading 3"/>
    <w:basedOn w:val="1"/>
    <w:next w:val="1"/>
    <w:qFormat/>
    <w:uiPriority w:val="0"/>
    <w:pPr>
      <w:numPr>
        <w:ilvl w:val="2"/>
        <w:numId w:val="1"/>
      </w:numPr>
      <w:spacing w:line="320" w:lineRule="exact"/>
      <w:jc w:val="left"/>
      <w:outlineLvl w:val="2"/>
    </w:pPr>
    <w:rPr>
      <w:rFonts w:ascii="宋体" w:hAnsi="宋体" w:eastAsia="楷体_GB2312"/>
      <w:bCs/>
      <w:sz w:val="24"/>
      <w:szCs w:val="32"/>
    </w:rPr>
  </w:style>
  <w:style w:type="paragraph" w:styleId="7">
    <w:name w:val="heading 4"/>
    <w:basedOn w:val="1"/>
    <w:next w:val="1"/>
    <w:qFormat/>
    <w:uiPriority w:val="0"/>
    <w:pPr>
      <w:numPr>
        <w:ilvl w:val="3"/>
        <w:numId w:val="1"/>
      </w:numPr>
      <w:spacing w:line="320" w:lineRule="exact"/>
      <w:outlineLvl w:val="3"/>
    </w:pPr>
    <w:rPr>
      <w:rFonts w:ascii="Arial" w:hAnsi="Arial" w:eastAsia="楷体_GB2312"/>
      <w:bCs/>
      <w:sz w:val="24"/>
      <w:szCs w:val="28"/>
    </w:rPr>
  </w:style>
  <w:style w:type="paragraph" w:styleId="8">
    <w:name w:val="heading 5"/>
    <w:basedOn w:val="1"/>
    <w:next w:val="1"/>
    <w:qFormat/>
    <w:uiPriority w:val="0"/>
    <w:pPr>
      <w:numPr>
        <w:ilvl w:val="4"/>
        <w:numId w:val="1"/>
      </w:numPr>
      <w:outlineLvl w:val="4"/>
    </w:pPr>
    <w:rPr>
      <w:rFonts w:eastAsia="楷体_GB2312"/>
      <w:bCs/>
      <w:sz w:val="24"/>
      <w:szCs w:val="28"/>
    </w:rPr>
  </w:style>
  <w:style w:type="paragraph" w:styleId="9">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10">
    <w:name w:val="heading 7"/>
    <w:basedOn w:val="1"/>
    <w:next w:val="1"/>
    <w:qFormat/>
    <w:uiPriority w:val="0"/>
    <w:pPr>
      <w:keepNext/>
      <w:keepLines/>
      <w:numPr>
        <w:ilvl w:val="6"/>
        <w:numId w:val="1"/>
      </w:numPr>
      <w:spacing w:before="240" w:after="64" w:line="320" w:lineRule="auto"/>
      <w:outlineLvl w:val="6"/>
    </w:pPr>
    <w:rPr>
      <w:rFonts w:eastAsia="楷体_GB2312"/>
      <w:b/>
      <w:bCs/>
      <w:sz w:val="24"/>
    </w:rPr>
  </w:style>
  <w:style w:type="paragraph" w:styleId="11">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2">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styleId="5">
    <w:name w:val="Body Text"/>
    <w:basedOn w:val="1"/>
    <w:qFormat/>
    <w:uiPriority w:val="0"/>
    <w:pPr>
      <w:spacing w:after="120"/>
    </w:pPr>
  </w:style>
  <w:style w:type="paragraph" w:styleId="13">
    <w:name w:val="footer"/>
    <w:basedOn w:val="1"/>
    <w:link w:val="19"/>
    <w:qFormat/>
    <w:uiPriority w:val="0"/>
    <w:pPr>
      <w:tabs>
        <w:tab w:val="center" w:pos="4153"/>
        <w:tab w:val="right" w:pos="8306"/>
      </w:tabs>
      <w:snapToGrid w:val="0"/>
      <w:jc w:val="left"/>
    </w:pPr>
    <w:rPr>
      <w:sz w:val="18"/>
      <w:szCs w:val="18"/>
    </w:rPr>
  </w:style>
  <w:style w:type="paragraph" w:styleId="14">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8">
    <w:name w:val="页眉 Char"/>
    <w:basedOn w:val="17"/>
    <w:link w:val="14"/>
    <w:qFormat/>
    <w:uiPriority w:val="0"/>
    <w:rPr>
      <w:kern w:val="2"/>
      <w:sz w:val="18"/>
      <w:szCs w:val="18"/>
    </w:rPr>
  </w:style>
  <w:style w:type="character" w:customStyle="1" w:styleId="19">
    <w:name w:val="页脚 Char"/>
    <w:basedOn w:val="17"/>
    <w:link w:val="1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119</Words>
  <Characters>683</Characters>
  <Lines>5</Lines>
  <Paragraphs>1</Paragraphs>
  <TotalTime>31</TotalTime>
  <ScaleCrop>false</ScaleCrop>
  <LinksUpToDate>false</LinksUpToDate>
  <CharactersWithSpaces>801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2020-10-29T02:35:00Z</dcterms:created>
  <dc:creator>Lenovo User</dc:creator>
  <cp:lastModifiedBy>Administrator</cp:lastModifiedBy>
  <cp:lastPrinted>2020-12-04T07:01:57Z</cp:lastPrinted>
  <dcterms:modified xsi:type="dcterms:W3CDTF">2020-12-04T07:03:51Z</dcterms:modified>
  <dc:title>2006年福建省临床实验室肿瘤标志物测定室间质量评价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